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AE7" w:rsidRPr="00CA0AE7" w:rsidRDefault="00CA0AE7" w:rsidP="00CA0AE7">
      <w:pPr>
        <w:spacing w:before="150" w:after="240" w:line="210" w:lineRule="atLeast"/>
        <w:ind w:left="75"/>
        <w:rPr>
          <w:rFonts w:ascii="Arial" w:eastAsia="Times New Roman" w:hAnsi="Arial" w:cs="Arial"/>
          <w:sz w:val="19"/>
          <w:szCs w:val="19"/>
        </w:rPr>
      </w:pPr>
      <w:r w:rsidRPr="00CA0AE7">
        <w:rPr>
          <w:rFonts w:ascii="Arial" w:eastAsia="Times New Roman" w:hAnsi="Arial" w:cs="Arial"/>
          <w:b/>
          <w:bCs/>
          <w:sz w:val="19"/>
          <w:szCs w:val="19"/>
        </w:rPr>
        <w:t>9 Pictograms</w:t>
      </w:r>
    </w:p>
    <w:tbl>
      <w:tblPr>
        <w:tblW w:w="50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78"/>
        <w:gridCol w:w="1574"/>
        <w:gridCol w:w="5796"/>
      </w:tblGrid>
      <w:tr w:rsidR="00CA0AE7" w:rsidRPr="00CA0AE7" w:rsidTr="00CA0AE7">
        <w:trPr>
          <w:tblCellSpacing w:w="7" w:type="dxa"/>
        </w:trPr>
        <w:tc>
          <w:tcPr>
            <w:tcW w:w="0" w:type="auto"/>
            <w:shd w:val="clear" w:color="auto" w:fill="E2E2E2"/>
            <w:vAlign w:val="center"/>
            <w:hideMark/>
          </w:tcPr>
          <w:p w:rsidR="00CA0AE7" w:rsidRPr="00CA0AE7" w:rsidRDefault="00CA0AE7" w:rsidP="00CA0AE7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</w:rPr>
            </w:pPr>
            <w:r w:rsidRPr="00CA0AE7">
              <w:rPr>
                <w:rFonts w:ascii="Arial" w:eastAsia="Times New Roman" w:hAnsi="Arial" w:cs="Arial"/>
                <w:b/>
                <w:bCs/>
                <w:sz w:val="19"/>
                <w:szCs w:val="19"/>
              </w:rPr>
              <w:t>Description</w:t>
            </w:r>
          </w:p>
        </w:tc>
        <w:tc>
          <w:tcPr>
            <w:tcW w:w="0" w:type="auto"/>
            <w:shd w:val="clear" w:color="auto" w:fill="E2E2E2"/>
            <w:vAlign w:val="center"/>
            <w:hideMark/>
          </w:tcPr>
          <w:p w:rsidR="00CA0AE7" w:rsidRPr="00CA0AE7" w:rsidRDefault="00CA0AE7" w:rsidP="00CA0A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9"/>
                <w:szCs w:val="19"/>
              </w:rPr>
            </w:pPr>
            <w:r w:rsidRPr="00CA0AE7">
              <w:rPr>
                <w:rFonts w:ascii="Arial" w:eastAsia="Times New Roman" w:hAnsi="Arial" w:cs="Arial"/>
                <w:b/>
                <w:bCs/>
                <w:sz w:val="19"/>
                <w:szCs w:val="19"/>
              </w:rPr>
              <w:t>Pictogram</w:t>
            </w:r>
          </w:p>
        </w:tc>
        <w:tc>
          <w:tcPr>
            <w:tcW w:w="0" w:type="auto"/>
            <w:shd w:val="clear" w:color="auto" w:fill="E2E2E2"/>
            <w:vAlign w:val="center"/>
            <w:hideMark/>
          </w:tcPr>
          <w:p w:rsidR="00CA0AE7" w:rsidRPr="00CA0AE7" w:rsidRDefault="00CA0AE7" w:rsidP="00CA0AE7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</w:rPr>
            </w:pPr>
            <w:r w:rsidRPr="00CA0AE7">
              <w:rPr>
                <w:rFonts w:ascii="Arial" w:eastAsia="Times New Roman" w:hAnsi="Arial" w:cs="Arial"/>
                <w:b/>
                <w:bCs/>
                <w:sz w:val="19"/>
                <w:szCs w:val="19"/>
              </w:rPr>
              <w:t>Hazard class and hazard category:</w:t>
            </w:r>
          </w:p>
        </w:tc>
      </w:tr>
      <w:tr w:rsidR="00CA0AE7" w:rsidRPr="00CA0AE7" w:rsidTr="00CA0AE7">
        <w:trPr>
          <w:tblCellSpacing w:w="7" w:type="dxa"/>
        </w:trPr>
        <w:tc>
          <w:tcPr>
            <w:tcW w:w="0" w:type="auto"/>
            <w:vAlign w:val="center"/>
            <w:hideMark/>
          </w:tcPr>
          <w:p w:rsidR="00CA0AE7" w:rsidRPr="00CA0AE7" w:rsidRDefault="00CA0AE7" w:rsidP="00CA0AE7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</w:rPr>
            </w:pPr>
            <w:r w:rsidRPr="00CA0AE7">
              <w:rPr>
                <w:rFonts w:ascii="Arial" w:eastAsia="Times New Roman" w:hAnsi="Arial" w:cs="Arial"/>
                <w:sz w:val="19"/>
                <w:szCs w:val="19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A0AE7" w:rsidRPr="00CA0AE7" w:rsidRDefault="00CA0AE7" w:rsidP="00CA0AE7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</w:rPr>
            </w:pPr>
            <w:r w:rsidRPr="00CA0AE7">
              <w:rPr>
                <w:rFonts w:ascii="Arial" w:eastAsia="Times New Roman" w:hAnsi="Arial" w:cs="Arial"/>
                <w:sz w:val="19"/>
                <w:szCs w:val="19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A0AE7" w:rsidRPr="00CA0AE7" w:rsidRDefault="00CA0AE7" w:rsidP="00CA0AE7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</w:rPr>
            </w:pPr>
            <w:r w:rsidRPr="00CA0AE7">
              <w:rPr>
                <w:rFonts w:ascii="Arial" w:eastAsia="Times New Roman" w:hAnsi="Arial" w:cs="Arial"/>
                <w:sz w:val="19"/>
                <w:szCs w:val="19"/>
              </w:rPr>
              <w:t> </w:t>
            </w:r>
          </w:p>
        </w:tc>
      </w:tr>
      <w:tr w:rsidR="00CA0AE7" w:rsidRPr="00CA0AE7" w:rsidTr="00CA0AE7">
        <w:trPr>
          <w:tblCellSpacing w:w="7" w:type="dxa"/>
        </w:trPr>
        <w:tc>
          <w:tcPr>
            <w:tcW w:w="0" w:type="auto"/>
            <w:hideMark/>
          </w:tcPr>
          <w:p w:rsidR="00CA0AE7" w:rsidRPr="00CA0AE7" w:rsidRDefault="00CA0AE7" w:rsidP="00CA0AE7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</w:rPr>
            </w:pPr>
            <w:r w:rsidRPr="00CA0AE7">
              <w:rPr>
                <w:rFonts w:ascii="Arial" w:eastAsia="Times New Roman" w:hAnsi="Arial" w:cs="Arial"/>
                <w:b/>
                <w:bCs/>
                <w:sz w:val="19"/>
                <w:szCs w:val="19"/>
              </w:rPr>
              <w:t>Exploding Bomb</w:t>
            </w:r>
          </w:p>
        </w:tc>
        <w:tc>
          <w:tcPr>
            <w:tcW w:w="0" w:type="auto"/>
            <w:hideMark/>
          </w:tcPr>
          <w:p w:rsidR="00CA0AE7" w:rsidRPr="00CA0AE7" w:rsidRDefault="00CA0AE7" w:rsidP="00CA0A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</w:rPr>
              <w:drawing>
                <wp:inline distT="0" distB="0" distL="0" distR="0">
                  <wp:extent cx="942975" cy="942975"/>
                  <wp:effectExtent l="0" t="0" r="9525" b="9525"/>
                  <wp:docPr id="9" name="Picture 9" descr="http://www.sigmaaldrich.com/content/dam/sigma-aldrich/customer-service/ghs/exploding-bomb-jp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igmaaldrich.com/content/dam/sigma-aldrich/customer-service/ghs/exploding-bomb-jp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CA0AE7" w:rsidRPr="00CA0AE7" w:rsidRDefault="00CA0AE7" w:rsidP="00CA0AE7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</w:rPr>
            </w:pPr>
            <w:r w:rsidRPr="00CA0AE7">
              <w:rPr>
                <w:rFonts w:ascii="Arial" w:eastAsia="Times New Roman" w:hAnsi="Arial" w:cs="Arial"/>
                <w:sz w:val="19"/>
                <w:szCs w:val="19"/>
              </w:rPr>
              <w:t>Unstable explosives</w:t>
            </w:r>
            <w:r w:rsidRPr="00CA0AE7">
              <w:rPr>
                <w:rFonts w:ascii="Arial" w:eastAsia="Times New Roman" w:hAnsi="Arial" w:cs="Arial"/>
                <w:sz w:val="19"/>
                <w:szCs w:val="19"/>
              </w:rPr>
              <w:br/>
            </w:r>
            <w:proofErr w:type="spellStart"/>
            <w:r w:rsidR="00812CE4" w:rsidRPr="00CA0AE7">
              <w:rPr>
                <w:rFonts w:ascii="Arial" w:eastAsia="Times New Roman" w:hAnsi="Arial" w:cs="Arial"/>
                <w:sz w:val="19"/>
                <w:szCs w:val="19"/>
              </w:rPr>
              <w:t>Explosive</w:t>
            </w:r>
            <w:r w:rsidR="00812CE4">
              <w:rPr>
                <w:rFonts w:ascii="Arial" w:eastAsia="Times New Roman" w:hAnsi="Arial" w:cs="Arial"/>
                <w:sz w:val="19"/>
                <w:szCs w:val="19"/>
              </w:rPr>
              <w:t>s</w:t>
            </w:r>
            <w:proofErr w:type="spellEnd"/>
            <w:r w:rsidRPr="00CA0AE7">
              <w:rPr>
                <w:rFonts w:ascii="Arial" w:eastAsia="Times New Roman" w:hAnsi="Arial" w:cs="Arial"/>
                <w:sz w:val="19"/>
                <w:szCs w:val="19"/>
              </w:rPr>
              <w:t xml:space="preserve"> of Divisions 1.1, 1.2, 1.3, 1.4</w:t>
            </w:r>
            <w:r w:rsidRPr="00CA0AE7">
              <w:rPr>
                <w:rFonts w:ascii="Arial" w:eastAsia="Times New Roman" w:hAnsi="Arial" w:cs="Arial"/>
                <w:sz w:val="19"/>
                <w:szCs w:val="19"/>
              </w:rPr>
              <w:br/>
              <w:t>Self</w:t>
            </w:r>
            <w:r w:rsidR="00812CE4">
              <w:rPr>
                <w:rFonts w:ascii="Arial" w:eastAsia="Times New Roman" w:hAnsi="Arial" w:cs="Arial"/>
                <w:sz w:val="19"/>
                <w:szCs w:val="19"/>
              </w:rPr>
              <w:t>-</w:t>
            </w:r>
            <w:r w:rsidRPr="00CA0AE7">
              <w:rPr>
                <w:rFonts w:ascii="Arial" w:eastAsia="Times New Roman" w:hAnsi="Arial" w:cs="Arial"/>
                <w:sz w:val="19"/>
                <w:szCs w:val="19"/>
              </w:rPr>
              <w:t xml:space="preserve"> reactive substances and mixtures, Types A,B</w:t>
            </w:r>
            <w:r w:rsidRPr="00CA0AE7">
              <w:rPr>
                <w:rFonts w:ascii="Arial" w:eastAsia="Times New Roman" w:hAnsi="Arial" w:cs="Arial"/>
                <w:sz w:val="19"/>
                <w:szCs w:val="19"/>
              </w:rPr>
              <w:br/>
              <w:t>Organic peroxides, Types A,B</w:t>
            </w:r>
            <w:bookmarkStart w:id="0" w:name="_GoBack"/>
            <w:bookmarkEnd w:id="0"/>
          </w:p>
        </w:tc>
      </w:tr>
      <w:tr w:rsidR="00CA0AE7" w:rsidRPr="00CA0AE7" w:rsidTr="00CA0AE7">
        <w:trPr>
          <w:tblCellSpacing w:w="7" w:type="dxa"/>
        </w:trPr>
        <w:tc>
          <w:tcPr>
            <w:tcW w:w="0" w:type="auto"/>
            <w:gridSpan w:val="3"/>
            <w:hideMark/>
          </w:tcPr>
          <w:p w:rsidR="00CA0AE7" w:rsidRPr="00CA0AE7" w:rsidRDefault="00812CE4" w:rsidP="00CA0AE7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sz w:val="19"/>
                <w:szCs w:val="19"/>
              </w:rPr>
              <w:pict>
                <v:rect id="_x0000_i1025" style="width:0;height:.75pt" o:hralign="center" o:hrstd="t" o:hrnoshade="t" o:hr="t" fillcolor="#666" stroked="f"/>
              </w:pict>
            </w:r>
          </w:p>
        </w:tc>
      </w:tr>
      <w:tr w:rsidR="00CA0AE7" w:rsidRPr="00CA0AE7" w:rsidTr="00CA0AE7">
        <w:trPr>
          <w:tblCellSpacing w:w="7" w:type="dxa"/>
        </w:trPr>
        <w:tc>
          <w:tcPr>
            <w:tcW w:w="0" w:type="auto"/>
            <w:hideMark/>
          </w:tcPr>
          <w:p w:rsidR="00CA0AE7" w:rsidRPr="00CA0AE7" w:rsidRDefault="00CA0AE7" w:rsidP="00CA0AE7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</w:rPr>
            </w:pPr>
            <w:r w:rsidRPr="00CA0AE7">
              <w:rPr>
                <w:rFonts w:ascii="Arial" w:eastAsia="Times New Roman" w:hAnsi="Arial" w:cs="Arial"/>
                <w:b/>
                <w:bCs/>
                <w:sz w:val="19"/>
                <w:szCs w:val="19"/>
              </w:rPr>
              <w:t>Flame</w:t>
            </w:r>
          </w:p>
        </w:tc>
        <w:tc>
          <w:tcPr>
            <w:tcW w:w="0" w:type="auto"/>
            <w:hideMark/>
          </w:tcPr>
          <w:p w:rsidR="00CA0AE7" w:rsidRPr="00CA0AE7" w:rsidRDefault="00CA0AE7" w:rsidP="00CA0A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</w:rPr>
              <w:drawing>
                <wp:inline distT="0" distB="0" distL="0" distR="0">
                  <wp:extent cx="942975" cy="942975"/>
                  <wp:effectExtent l="0" t="0" r="9525" b="9525"/>
                  <wp:docPr id="8" name="Picture 8" descr="http://www.sigmaaldrich.com/content/dam/sigma-aldrich/customer-service/ghs/flame-jp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sigmaaldrich.com/content/dam/sigma-aldrich/customer-service/ghs/flame-jp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CA0AE7" w:rsidRPr="00CA0AE7" w:rsidRDefault="00CA0AE7" w:rsidP="00CA0AE7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</w:rPr>
            </w:pPr>
            <w:r w:rsidRPr="00CA0AE7">
              <w:rPr>
                <w:rFonts w:ascii="Arial" w:eastAsia="Times New Roman" w:hAnsi="Arial" w:cs="Arial"/>
                <w:sz w:val="19"/>
                <w:szCs w:val="19"/>
              </w:rPr>
              <w:t>Flammable gases, category 1</w:t>
            </w:r>
            <w:r w:rsidRPr="00CA0AE7">
              <w:rPr>
                <w:rFonts w:ascii="Arial" w:eastAsia="Times New Roman" w:hAnsi="Arial" w:cs="Arial"/>
                <w:sz w:val="19"/>
                <w:szCs w:val="19"/>
              </w:rPr>
              <w:br/>
              <w:t>Flammable aerosols, categories 1,2</w:t>
            </w:r>
            <w:r w:rsidRPr="00CA0AE7">
              <w:rPr>
                <w:rFonts w:ascii="Arial" w:eastAsia="Times New Roman" w:hAnsi="Arial" w:cs="Arial"/>
                <w:sz w:val="19"/>
                <w:szCs w:val="19"/>
              </w:rPr>
              <w:br/>
              <w:t>Flammable liquids, categories 1,2,3</w:t>
            </w:r>
            <w:r w:rsidRPr="00CA0AE7">
              <w:rPr>
                <w:rFonts w:ascii="Arial" w:eastAsia="Times New Roman" w:hAnsi="Arial" w:cs="Arial"/>
                <w:sz w:val="19"/>
                <w:szCs w:val="19"/>
              </w:rPr>
              <w:br/>
              <w:t>Flammable solids, categories 1,2</w:t>
            </w:r>
            <w:r w:rsidRPr="00CA0AE7">
              <w:rPr>
                <w:rFonts w:ascii="Arial" w:eastAsia="Times New Roman" w:hAnsi="Arial" w:cs="Arial"/>
                <w:sz w:val="19"/>
                <w:szCs w:val="19"/>
              </w:rPr>
              <w:br/>
              <w:t>Self-reactive substances and mixtures, Types B,C,D,E,F</w:t>
            </w:r>
            <w:r w:rsidRPr="00CA0AE7">
              <w:rPr>
                <w:rFonts w:ascii="Arial" w:eastAsia="Times New Roman" w:hAnsi="Arial" w:cs="Arial"/>
                <w:sz w:val="19"/>
                <w:szCs w:val="19"/>
              </w:rPr>
              <w:br/>
              <w:t>Pyrophoric liquids, category 1</w:t>
            </w:r>
            <w:r w:rsidRPr="00CA0AE7">
              <w:rPr>
                <w:rFonts w:ascii="Arial" w:eastAsia="Times New Roman" w:hAnsi="Arial" w:cs="Arial"/>
                <w:sz w:val="19"/>
                <w:szCs w:val="19"/>
              </w:rPr>
              <w:br/>
              <w:t>Pyrophoric solids, category 1</w:t>
            </w:r>
            <w:r w:rsidRPr="00CA0AE7">
              <w:rPr>
                <w:rFonts w:ascii="Arial" w:eastAsia="Times New Roman" w:hAnsi="Arial" w:cs="Arial"/>
                <w:sz w:val="19"/>
                <w:szCs w:val="19"/>
              </w:rPr>
              <w:br/>
              <w:t>Self-heating substances and mixtures, categories 1,2</w:t>
            </w:r>
            <w:r w:rsidRPr="00CA0AE7">
              <w:rPr>
                <w:rFonts w:ascii="Arial" w:eastAsia="Times New Roman" w:hAnsi="Arial" w:cs="Arial"/>
                <w:sz w:val="19"/>
                <w:szCs w:val="19"/>
              </w:rPr>
              <w:br/>
              <w:t>Substances and mixtures, which in contact with water,</w:t>
            </w:r>
            <w:r w:rsidRPr="00CA0AE7">
              <w:rPr>
                <w:rFonts w:ascii="Arial" w:eastAsia="Times New Roman" w:hAnsi="Arial" w:cs="Arial"/>
                <w:sz w:val="19"/>
                <w:szCs w:val="19"/>
              </w:rPr>
              <w:br/>
              <w:t>emit flammable gases, categories 1,2,3</w:t>
            </w:r>
            <w:r w:rsidRPr="00CA0AE7">
              <w:rPr>
                <w:rFonts w:ascii="Arial" w:eastAsia="Times New Roman" w:hAnsi="Arial" w:cs="Arial"/>
                <w:sz w:val="19"/>
                <w:szCs w:val="19"/>
              </w:rPr>
              <w:br/>
              <w:t>Organic peroxides, Types B,C,D,E,F</w:t>
            </w:r>
          </w:p>
        </w:tc>
      </w:tr>
      <w:tr w:rsidR="00CA0AE7" w:rsidRPr="00CA0AE7" w:rsidTr="00CA0AE7">
        <w:trPr>
          <w:tblCellSpacing w:w="7" w:type="dxa"/>
        </w:trPr>
        <w:tc>
          <w:tcPr>
            <w:tcW w:w="0" w:type="auto"/>
            <w:gridSpan w:val="3"/>
            <w:hideMark/>
          </w:tcPr>
          <w:p w:rsidR="00CA0AE7" w:rsidRPr="00CA0AE7" w:rsidRDefault="00812CE4" w:rsidP="00CA0AE7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sz w:val="19"/>
                <w:szCs w:val="19"/>
              </w:rPr>
              <w:pict>
                <v:rect id="_x0000_i1026" style="width:0;height:.75pt" o:hralign="center" o:hrstd="t" o:hrnoshade="t" o:hr="t" fillcolor="#666" stroked="f"/>
              </w:pict>
            </w:r>
          </w:p>
        </w:tc>
      </w:tr>
      <w:tr w:rsidR="00CA0AE7" w:rsidRPr="00CA0AE7" w:rsidTr="00CA0AE7">
        <w:trPr>
          <w:tblCellSpacing w:w="7" w:type="dxa"/>
        </w:trPr>
        <w:tc>
          <w:tcPr>
            <w:tcW w:w="0" w:type="auto"/>
            <w:hideMark/>
          </w:tcPr>
          <w:p w:rsidR="00CA0AE7" w:rsidRPr="00CA0AE7" w:rsidRDefault="00CA0AE7" w:rsidP="00CA0AE7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</w:rPr>
            </w:pPr>
            <w:r w:rsidRPr="00CA0AE7">
              <w:rPr>
                <w:rFonts w:ascii="Arial" w:eastAsia="Times New Roman" w:hAnsi="Arial" w:cs="Arial"/>
                <w:b/>
                <w:bCs/>
                <w:sz w:val="19"/>
                <w:szCs w:val="19"/>
              </w:rPr>
              <w:t>Flame Over Circle</w:t>
            </w:r>
          </w:p>
        </w:tc>
        <w:tc>
          <w:tcPr>
            <w:tcW w:w="0" w:type="auto"/>
            <w:hideMark/>
          </w:tcPr>
          <w:p w:rsidR="00CA0AE7" w:rsidRPr="00CA0AE7" w:rsidRDefault="00CA0AE7" w:rsidP="00CA0A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</w:rPr>
              <w:drawing>
                <wp:inline distT="0" distB="0" distL="0" distR="0">
                  <wp:extent cx="942975" cy="942975"/>
                  <wp:effectExtent l="0" t="0" r="9525" b="9525"/>
                  <wp:docPr id="7" name="Picture 7" descr="http://www.sigmaaldrich.com/content/dam/sigma-aldrich/customer-service/ghs/flame-over-circ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sigmaaldrich.com/content/dam/sigma-aldrich/customer-service/ghs/flame-over-circ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CA0AE7" w:rsidRPr="00CA0AE7" w:rsidRDefault="00CA0AE7" w:rsidP="00CA0AE7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</w:rPr>
            </w:pPr>
            <w:r w:rsidRPr="00CA0AE7">
              <w:rPr>
                <w:rFonts w:ascii="Arial" w:eastAsia="Times New Roman" w:hAnsi="Arial" w:cs="Arial"/>
                <w:sz w:val="19"/>
                <w:szCs w:val="19"/>
              </w:rPr>
              <w:t>Oxidizing gases, category 1</w:t>
            </w:r>
            <w:r w:rsidRPr="00CA0AE7">
              <w:rPr>
                <w:rFonts w:ascii="Arial" w:eastAsia="Times New Roman" w:hAnsi="Arial" w:cs="Arial"/>
                <w:sz w:val="19"/>
                <w:szCs w:val="19"/>
              </w:rPr>
              <w:br/>
              <w:t>Oxidizing liquids, categories 1,2,3</w:t>
            </w:r>
          </w:p>
        </w:tc>
      </w:tr>
      <w:tr w:rsidR="00CA0AE7" w:rsidRPr="00CA0AE7" w:rsidTr="00CA0AE7">
        <w:trPr>
          <w:tblCellSpacing w:w="7" w:type="dxa"/>
        </w:trPr>
        <w:tc>
          <w:tcPr>
            <w:tcW w:w="0" w:type="auto"/>
            <w:gridSpan w:val="3"/>
            <w:hideMark/>
          </w:tcPr>
          <w:p w:rsidR="00CA0AE7" w:rsidRPr="00CA0AE7" w:rsidRDefault="00812CE4" w:rsidP="00CA0AE7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sz w:val="19"/>
                <w:szCs w:val="19"/>
              </w:rPr>
              <w:pict>
                <v:rect id="_x0000_i1027" style="width:0;height:.75pt" o:hralign="center" o:hrstd="t" o:hrnoshade="t" o:hr="t" fillcolor="#666" stroked="f"/>
              </w:pict>
            </w:r>
          </w:p>
        </w:tc>
      </w:tr>
      <w:tr w:rsidR="00CA0AE7" w:rsidRPr="00CA0AE7" w:rsidTr="00CA0AE7">
        <w:trPr>
          <w:tblCellSpacing w:w="7" w:type="dxa"/>
        </w:trPr>
        <w:tc>
          <w:tcPr>
            <w:tcW w:w="0" w:type="auto"/>
            <w:hideMark/>
          </w:tcPr>
          <w:p w:rsidR="00CA0AE7" w:rsidRPr="00CA0AE7" w:rsidRDefault="00CA0AE7" w:rsidP="00CA0AE7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</w:rPr>
            </w:pPr>
            <w:r w:rsidRPr="00CA0AE7">
              <w:rPr>
                <w:rFonts w:ascii="Arial" w:eastAsia="Times New Roman" w:hAnsi="Arial" w:cs="Arial"/>
                <w:b/>
                <w:bCs/>
                <w:sz w:val="19"/>
                <w:szCs w:val="19"/>
              </w:rPr>
              <w:t>Gas Cylinder</w:t>
            </w:r>
          </w:p>
        </w:tc>
        <w:tc>
          <w:tcPr>
            <w:tcW w:w="0" w:type="auto"/>
            <w:hideMark/>
          </w:tcPr>
          <w:p w:rsidR="00CA0AE7" w:rsidRPr="00CA0AE7" w:rsidRDefault="00CA0AE7" w:rsidP="00CA0A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</w:rPr>
              <w:drawing>
                <wp:inline distT="0" distB="0" distL="0" distR="0">
                  <wp:extent cx="942975" cy="942975"/>
                  <wp:effectExtent l="0" t="0" r="9525" b="9525"/>
                  <wp:docPr id="6" name="Picture 6" descr="http://www.sigmaaldrich.com/content/dam/sigma-aldrich/customer-service/ghs/gas-cylinder-jp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sigmaaldrich.com/content/dam/sigma-aldrich/customer-service/ghs/gas-cylinder-jp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CA0AE7" w:rsidRPr="00CA0AE7" w:rsidRDefault="00CA0AE7" w:rsidP="00CA0AE7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</w:rPr>
            </w:pPr>
            <w:r w:rsidRPr="00CA0AE7">
              <w:rPr>
                <w:rFonts w:ascii="Arial" w:eastAsia="Times New Roman" w:hAnsi="Arial" w:cs="Arial"/>
                <w:sz w:val="19"/>
                <w:szCs w:val="19"/>
              </w:rPr>
              <w:t>Gases under pressure:</w:t>
            </w:r>
            <w:r w:rsidRPr="00CA0AE7">
              <w:rPr>
                <w:rFonts w:ascii="Arial" w:eastAsia="Times New Roman" w:hAnsi="Arial" w:cs="Arial"/>
                <w:sz w:val="19"/>
                <w:szCs w:val="19"/>
              </w:rPr>
              <w:br/>
              <w:t>- Compressed gases</w:t>
            </w:r>
            <w:r w:rsidRPr="00CA0AE7">
              <w:rPr>
                <w:rFonts w:ascii="Arial" w:eastAsia="Times New Roman" w:hAnsi="Arial" w:cs="Arial"/>
                <w:sz w:val="19"/>
                <w:szCs w:val="19"/>
              </w:rPr>
              <w:br/>
              <w:t>- Liquefied gases</w:t>
            </w:r>
            <w:r w:rsidRPr="00CA0AE7">
              <w:rPr>
                <w:rFonts w:ascii="Arial" w:eastAsia="Times New Roman" w:hAnsi="Arial" w:cs="Arial"/>
                <w:sz w:val="19"/>
                <w:szCs w:val="19"/>
              </w:rPr>
              <w:br/>
              <w:t>- Refrigerated liquefied gases </w:t>
            </w:r>
            <w:r w:rsidRPr="00CA0AE7">
              <w:rPr>
                <w:rFonts w:ascii="Arial" w:eastAsia="Times New Roman" w:hAnsi="Arial" w:cs="Arial"/>
                <w:sz w:val="19"/>
                <w:szCs w:val="19"/>
              </w:rPr>
              <w:br/>
              <w:t>- Dissolved gases</w:t>
            </w:r>
          </w:p>
        </w:tc>
      </w:tr>
      <w:tr w:rsidR="00CA0AE7" w:rsidRPr="00CA0AE7" w:rsidTr="00CA0AE7">
        <w:trPr>
          <w:tblCellSpacing w:w="7" w:type="dxa"/>
        </w:trPr>
        <w:tc>
          <w:tcPr>
            <w:tcW w:w="0" w:type="auto"/>
            <w:gridSpan w:val="3"/>
            <w:hideMark/>
          </w:tcPr>
          <w:p w:rsidR="00CA0AE7" w:rsidRPr="00CA0AE7" w:rsidRDefault="00812CE4" w:rsidP="00CA0AE7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sz w:val="19"/>
                <w:szCs w:val="19"/>
              </w:rPr>
              <w:pict>
                <v:rect id="_x0000_i1028" style="width:0;height:.75pt" o:hralign="center" o:hrstd="t" o:hrnoshade="t" o:hr="t" fillcolor="#666" stroked="f"/>
              </w:pict>
            </w:r>
          </w:p>
        </w:tc>
      </w:tr>
      <w:tr w:rsidR="00CA0AE7" w:rsidRPr="00CA0AE7" w:rsidTr="00CA0AE7">
        <w:trPr>
          <w:tblCellSpacing w:w="7" w:type="dxa"/>
        </w:trPr>
        <w:tc>
          <w:tcPr>
            <w:tcW w:w="0" w:type="auto"/>
            <w:hideMark/>
          </w:tcPr>
          <w:p w:rsidR="00CA0AE7" w:rsidRPr="00CA0AE7" w:rsidRDefault="00CA0AE7" w:rsidP="00CA0AE7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</w:rPr>
            </w:pPr>
            <w:r w:rsidRPr="00CA0AE7">
              <w:rPr>
                <w:rFonts w:ascii="Arial" w:eastAsia="Times New Roman" w:hAnsi="Arial" w:cs="Arial"/>
                <w:b/>
                <w:bCs/>
                <w:sz w:val="19"/>
                <w:szCs w:val="19"/>
              </w:rPr>
              <w:t>Corrosion</w:t>
            </w:r>
          </w:p>
        </w:tc>
        <w:tc>
          <w:tcPr>
            <w:tcW w:w="0" w:type="auto"/>
            <w:hideMark/>
          </w:tcPr>
          <w:p w:rsidR="00CA0AE7" w:rsidRPr="00CA0AE7" w:rsidRDefault="00CA0AE7" w:rsidP="00CA0A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</w:rPr>
              <w:drawing>
                <wp:inline distT="0" distB="0" distL="0" distR="0">
                  <wp:extent cx="942975" cy="942975"/>
                  <wp:effectExtent l="0" t="0" r="9525" b="9525"/>
                  <wp:docPr id="5" name="Picture 5" descr="http://www.sigmaaldrich.com/content/dam/sigma-aldrich/customer-service/ghs/corrosion-jp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sigmaaldrich.com/content/dam/sigma-aldrich/customer-service/ghs/corrosion-jp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CA0AE7" w:rsidRPr="00CA0AE7" w:rsidRDefault="00CA0AE7" w:rsidP="00CA0AE7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</w:rPr>
            </w:pPr>
            <w:r w:rsidRPr="00CA0AE7">
              <w:rPr>
                <w:rFonts w:ascii="Arial" w:eastAsia="Times New Roman" w:hAnsi="Arial" w:cs="Arial"/>
                <w:sz w:val="19"/>
                <w:szCs w:val="19"/>
              </w:rPr>
              <w:t>Corrosive to metals, category 1</w:t>
            </w:r>
            <w:r w:rsidRPr="00CA0AE7">
              <w:rPr>
                <w:rFonts w:ascii="Arial" w:eastAsia="Times New Roman" w:hAnsi="Arial" w:cs="Arial"/>
                <w:sz w:val="19"/>
                <w:szCs w:val="19"/>
              </w:rPr>
              <w:br/>
              <w:t>Skin corrosion, categories 1A,1B,1C</w:t>
            </w:r>
            <w:r w:rsidRPr="00CA0AE7">
              <w:rPr>
                <w:rFonts w:ascii="Arial" w:eastAsia="Times New Roman" w:hAnsi="Arial" w:cs="Arial"/>
                <w:sz w:val="19"/>
                <w:szCs w:val="19"/>
              </w:rPr>
              <w:br/>
              <w:t>Serious eye damage, category 1</w:t>
            </w:r>
          </w:p>
        </w:tc>
      </w:tr>
      <w:tr w:rsidR="00CA0AE7" w:rsidRPr="00CA0AE7" w:rsidTr="00CA0AE7">
        <w:trPr>
          <w:tblCellSpacing w:w="7" w:type="dxa"/>
        </w:trPr>
        <w:tc>
          <w:tcPr>
            <w:tcW w:w="0" w:type="auto"/>
            <w:gridSpan w:val="3"/>
            <w:hideMark/>
          </w:tcPr>
          <w:p w:rsidR="00CA0AE7" w:rsidRPr="00CA0AE7" w:rsidRDefault="00812CE4" w:rsidP="00CA0AE7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sz w:val="19"/>
                <w:szCs w:val="19"/>
              </w:rPr>
              <w:pict>
                <v:rect id="_x0000_i1029" style="width:0;height:.75pt" o:hralign="center" o:hrstd="t" o:hrnoshade="t" o:hr="t" fillcolor="#666" stroked="f"/>
              </w:pict>
            </w:r>
          </w:p>
        </w:tc>
      </w:tr>
      <w:tr w:rsidR="00CA0AE7" w:rsidRPr="00CA0AE7" w:rsidTr="00CA0AE7">
        <w:trPr>
          <w:tblCellSpacing w:w="7" w:type="dxa"/>
        </w:trPr>
        <w:tc>
          <w:tcPr>
            <w:tcW w:w="0" w:type="auto"/>
            <w:hideMark/>
          </w:tcPr>
          <w:p w:rsidR="00CA0AE7" w:rsidRPr="00CA0AE7" w:rsidRDefault="00CA0AE7" w:rsidP="00CA0AE7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</w:rPr>
            </w:pPr>
            <w:r w:rsidRPr="00CA0AE7">
              <w:rPr>
                <w:rFonts w:ascii="Arial" w:eastAsia="Times New Roman" w:hAnsi="Arial" w:cs="Arial"/>
                <w:b/>
                <w:bCs/>
                <w:sz w:val="19"/>
                <w:szCs w:val="19"/>
              </w:rPr>
              <w:t>Skull and Crossbones</w:t>
            </w:r>
          </w:p>
        </w:tc>
        <w:tc>
          <w:tcPr>
            <w:tcW w:w="0" w:type="auto"/>
            <w:hideMark/>
          </w:tcPr>
          <w:p w:rsidR="00CA0AE7" w:rsidRPr="00CA0AE7" w:rsidRDefault="00CA0AE7" w:rsidP="00CA0A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</w:rPr>
              <w:drawing>
                <wp:inline distT="0" distB="0" distL="0" distR="0">
                  <wp:extent cx="942975" cy="942975"/>
                  <wp:effectExtent l="0" t="0" r="9525" b="9525"/>
                  <wp:docPr id="4" name="Picture 4" descr="http://www.sigmaaldrich.com/content/dam/sigma-aldrich/customer-service/ghs/skull-jp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sigmaaldrich.com/content/dam/sigma-aldrich/customer-service/ghs/skull-jp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CA0AE7" w:rsidRPr="00CA0AE7" w:rsidRDefault="00CA0AE7" w:rsidP="00CA0AE7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</w:rPr>
            </w:pPr>
            <w:r w:rsidRPr="00CA0AE7">
              <w:rPr>
                <w:rFonts w:ascii="Arial" w:eastAsia="Times New Roman" w:hAnsi="Arial" w:cs="Arial"/>
                <w:sz w:val="19"/>
                <w:szCs w:val="19"/>
              </w:rPr>
              <w:t>Acute toxicity (oral, dermal, inhalation), categories 1,2,3</w:t>
            </w:r>
          </w:p>
        </w:tc>
      </w:tr>
      <w:tr w:rsidR="00CA0AE7" w:rsidRPr="00CA0AE7" w:rsidTr="00CA0AE7">
        <w:trPr>
          <w:tblCellSpacing w:w="7" w:type="dxa"/>
        </w:trPr>
        <w:tc>
          <w:tcPr>
            <w:tcW w:w="0" w:type="auto"/>
            <w:gridSpan w:val="3"/>
            <w:hideMark/>
          </w:tcPr>
          <w:p w:rsidR="00CA0AE7" w:rsidRPr="00CA0AE7" w:rsidRDefault="00812CE4" w:rsidP="00CA0AE7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sz w:val="19"/>
                <w:szCs w:val="19"/>
              </w:rPr>
              <w:pict>
                <v:rect id="_x0000_i1030" style="width:0;height:.75pt" o:hralign="center" o:hrstd="t" o:hrnoshade="t" o:hr="t" fillcolor="#666" stroked="f"/>
              </w:pict>
            </w:r>
          </w:p>
        </w:tc>
      </w:tr>
      <w:tr w:rsidR="00CA0AE7" w:rsidRPr="00CA0AE7" w:rsidTr="00CA0AE7">
        <w:trPr>
          <w:tblCellSpacing w:w="7" w:type="dxa"/>
        </w:trPr>
        <w:tc>
          <w:tcPr>
            <w:tcW w:w="0" w:type="auto"/>
            <w:hideMark/>
          </w:tcPr>
          <w:p w:rsidR="00CA0AE7" w:rsidRPr="00CA0AE7" w:rsidRDefault="00CA0AE7" w:rsidP="00CA0AE7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</w:rPr>
            </w:pPr>
            <w:r w:rsidRPr="00CA0AE7">
              <w:rPr>
                <w:rFonts w:ascii="Arial" w:eastAsia="Times New Roman" w:hAnsi="Arial" w:cs="Arial"/>
                <w:b/>
                <w:bCs/>
                <w:sz w:val="19"/>
                <w:szCs w:val="19"/>
              </w:rPr>
              <w:lastRenderedPageBreak/>
              <w:t>Exclamation Mark</w:t>
            </w:r>
          </w:p>
        </w:tc>
        <w:tc>
          <w:tcPr>
            <w:tcW w:w="0" w:type="auto"/>
            <w:hideMark/>
          </w:tcPr>
          <w:p w:rsidR="00CA0AE7" w:rsidRPr="00CA0AE7" w:rsidRDefault="00CA0AE7" w:rsidP="00CA0A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</w:rPr>
              <w:drawing>
                <wp:inline distT="0" distB="0" distL="0" distR="0">
                  <wp:extent cx="942975" cy="942975"/>
                  <wp:effectExtent l="0" t="0" r="9525" b="9525"/>
                  <wp:docPr id="3" name="Picture 3" descr="http://www.sigmaaldrich.com/content/dam/sigma-aldrich/customer-service/ghs/exclamation-mark-jp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sigmaaldrich.com/content/dam/sigma-aldrich/customer-service/ghs/exclamation-mark-jp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CA0AE7" w:rsidRPr="00CA0AE7" w:rsidRDefault="00CA0AE7" w:rsidP="00DB30B3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</w:rPr>
            </w:pPr>
            <w:r w:rsidRPr="00CA0AE7">
              <w:rPr>
                <w:rFonts w:ascii="Arial" w:eastAsia="Times New Roman" w:hAnsi="Arial" w:cs="Arial"/>
                <w:sz w:val="19"/>
                <w:szCs w:val="19"/>
              </w:rPr>
              <w:t>Acute toxicity (oral, dermal, inhalation), category 4</w:t>
            </w:r>
            <w:r w:rsidRPr="00CA0AE7">
              <w:rPr>
                <w:rFonts w:ascii="Arial" w:eastAsia="Times New Roman" w:hAnsi="Arial" w:cs="Arial"/>
                <w:sz w:val="19"/>
                <w:szCs w:val="19"/>
              </w:rPr>
              <w:br/>
              <w:t>Skin irritation, category 2</w:t>
            </w:r>
            <w:r w:rsidRPr="00CA0AE7">
              <w:rPr>
                <w:rFonts w:ascii="Arial" w:eastAsia="Times New Roman" w:hAnsi="Arial" w:cs="Arial"/>
                <w:sz w:val="19"/>
                <w:szCs w:val="19"/>
              </w:rPr>
              <w:br/>
              <w:t>Eye irritation, category 2</w:t>
            </w:r>
            <w:r w:rsidRPr="00CA0AE7">
              <w:rPr>
                <w:rFonts w:ascii="Arial" w:eastAsia="Times New Roman" w:hAnsi="Arial" w:cs="Arial"/>
                <w:sz w:val="19"/>
                <w:szCs w:val="19"/>
              </w:rPr>
              <w:br/>
              <w:t>Skin sensiti</w:t>
            </w:r>
            <w:r w:rsidR="00DB30B3">
              <w:rPr>
                <w:rFonts w:ascii="Arial" w:eastAsia="Times New Roman" w:hAnsi="Arial" w:cs="Arial"/>
                <w:sz w:val="19"/>
                <w:szCs w:val="19"/>
              </w:rPr>
              <w:t>z</w:t>
            </w:r>
            <w:r w:rsidRPr="00CA0AE7">
              <w:rPr>
                <w:rFonts w:ascii="Arial" w:eastAsia="Times New Roman" w:hAnsi="Arial" w:cs="Arial"/>
                <w:sz w:val="19"/>
                <w:szCs w:val="19"/>
              </w:rPr>
              <w:t>ation, category 1</w:t>
            </w:r>
            <w:r w:rsidRPr="00CA0AE7">
              <w:rPr>
                <w:rFonts w:ascii="Arial" w:eastAsia="Times New Roman" w:hAnsi="Arial" w:cs="Arial"/>
                <w:sz w:val="19"/>
                <w:szCs w:val="19"/>
              </w:rPr>
              <w:br/>
              <w:t>Specific Target Organ Toxicity – Single exposure, category 3</w:t>
            </w:r>
          </w:p>
        </w:tc>
      </w:tr>
      <w:tr w:rsidR="00CA0AE7" w:rsidRPr="00CA0AE7" w:rsidTr="00CA0AE7">
        <w:trPr>
          <w:tblCellSpacing w:w="7" w:type="dxa"/>
        </w:trPr>
        <w:tc>
          <w:tcPr>
            <w:tcW w:w="0" w:type="auto"/>
            <w:gridSpan w:val="3"/>
            <w:hideMark/>
          </w:tcPr>
          <w:p w:rsidR="00CA0AE7" w:rsidRPr="00CA0AE7" w:rsidRDefault="00812CE4" w:rsidP="00CA0AE7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sz w:val="19"/>
                <w:szCs w:val="19"/>
              </w:rPr>
              <w:pict>
                <v:rect id="_x0000_i1031" style="width:0;height:.75pt" o:hralign="center" o:hrstd="t" o:hrnoshade="t" o:hr="t" fillcolor="#666" stroked="f"/>
              </w:pict>
            </w:r>
          </w:p>
        </w:tc>
      </w:tr>
      <w:tr w:rsidR="00CA0AE7" w:rsidRPr="00CA0AE7" w:rsidTr="00CA0AE7">
        <w:trPr>
          <w:tblCellSpacing w:w="7" w:type="dxa"/>
        </w:trPr>
        <w:tc>
          <w:tcPr>
            <w:tcW w:w="0" w:type="auto"/>
            <w:hideMark/>
          </w:tcPr>
          <w:p w:rsidR="00CA0AE7" w:rsidRPr="00CA0AE7" w:rsidRDefault="00CA0AE7" w:rsidP="00CA0AE7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</w:rPr>
            </w:pPr>
            <w:r w:rsidRPr="00CA0AE7">
              <w:rPr>
                <w:rFonts w:ascii="Arial" w:eastAsia="Times New Roman" w:hAnsi="Arial" w:cs="Arial"/>
                <w:b/>
                <w:bCs/>
                <w:sz w:val="19"/>
                <w:szCs w:val="19"/>
              </w:rPr>
              <w:t>Health Hazard</w:t>
            </w:r>
          </w:p>
        </w:tc>
        <w:tc>
          <w:tcPr>
            <w:tcW w:w="0" w:type="auto"/>
            <w:hideMark/>
          </w:tcPr>
          <w:p w:rsidR="00CA0AE7" w:rsidRPr="00CA0AE7" w:rsidRDefault="00CA0AE7" w:rsidP="00CA0A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</w:rPr>
              <w:drawing>
                <wp:inline distT="0" distB="0" distL="0" distR="0">
                  <wp:extent cx="942975" cy="942975"/>
                  <wp:effectExtent l="0" t="0" r="9525" b="9525"/>
                  <wp:docPr id="2" name="Picture 2" descr="http://www.sigmaaldrich.com/content/dam/sigma-aldrich/customer-service/ghs/health-hazard-jp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sigmaaldrich.com/content/dam/sigma-aldrich/customer-service/ghs/health-hazard-jp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CA0AE7" w:rsidRPr="00CA0AE7" w:rsidRDefault="00CA0AE7" w:rsidP="00CA0AE7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</w:rPr>
            </w:pPr>
            <w:r w:rsidRPr="00CA0AE7">
              <w:rPr>
                <w:rFonts w:ascii="Arial" w:eastAsia="Times New Roman" w:hAnsi="Arial" w:cs="Arial"/>
                <w:sz w:val="19"/>
                <w:szCs w:val="19"/>
              </w:rPr>
              <w:t>Respiratory sensitization, category 1</w:t>
            </w:r>
            <w:r w:rsidRPr="00CA0AE7">
              <w:rPr>
                <w:rFonts w:ascii="Arial" w:eastAsia="Times New Roman" w:hAnsi="Arial" w:cs="Arial"/>
                <w:sz w:val="19"/>
                <w:szCs w:val="19"/>
              </w:rPr>
              <w:br/>
              <w:t>Germ cell mutagenicity, categories 1A,1B,2</w:t>
            </w:r>
            <w:r w:rsidRPr="00CA0AE7">
              <w:rPr>
                <w:rFonts w:ascii="Arial" w:eastAsia="Times New Roman" w:hAnsi="Arial" w:cs="Arial"/>
                <w:sz w:val="19"/>
                <w:szCs w:val="19"/>
              </w:rPr>
              <w:br/>
              <w:t>Carcinogenicity, categories 1A,1B,2</w:t>
            </w:r>
            <w:r w:rsidRPr="00CA0AE7">
              <w:rPr>
                <w:rFonts w:ascii="Arial" w:eastAsia="Times New Roman" w:hAnsi="Arial" w:cs="Arial"/>
                <w:sz w:val="19"/>
                <w:szCs w:val="19"/>
              </w:rPr>
              <w:br/>
              <w:t>Reproductive toxicity, categories 1A,1B,2</w:t>
            </w:r>
            <w:r w:rsidRPr="00CA0AE7">
              <w:rPr>
                <w:rFonts w:ascii="Arial" w:eastAsia="Times New Roman" w:hAnsi="Arial" w:cs="Arial"/>
                <w:sz w:val="19"/>
                <w:szCs w:val="19"/>
              </w:rPr>
              <w:br/>
              <w:t>Specific Target Organ Toxicity – Single exposure, categories 1,2</w:t>
            </w:r>
            <w:r w:rsidRPr="00CA0AE7">
              <w:rPr>
                <w:rFonts w:ascii="Arial" w:eastAsia="Times New Roman" w:hAnsi="Arial" w:cs="Arial"/>
                <w:sz w:val="19"/>
                <w:szCs w:val="19"/>
              </w:rPr>
              <w:br/>
              <w:t>Specific Target Organ Toxicity – Repeated exposure, categories 1,2</w:t>
            </w:r>
            <w:r w:rsidRPr="00CA0AE7">
              <w:rPr>
                <w:rFonts w:ascii="Arial" w:eastAsia="Times New Roman" w:hAnsi="Arial" w:cs="Arial"/>
                <w:sz w:val="19"/>
                <w:szCs w:val="19"/>
              </w:rPr>
              <w:br/>
              <w:t>Aspiration Hazard, category 1</w:t>
            </w:r>
          </w:p>
        </w:tc>
      </w:tr>
      <w:tr w:rsidR="00CA0AE7" w:rsidRPr="00CA0AE7" w:rsidTr="00CA0AE7">
        <w:trPr>
          <w:tblCellSpacing w:w="7" w:type="dxa"/>
        </w:trPr>
        <w:tc>
          <w:tcPr>
            <w:tcW w:w="0" w:type="auto"/>
            <w:gridSpan w:val="3"/>
            <w:hideMark/>
          </w:tcPr>
          <w:p w:rsidR="00CA0AE7" w:rsidRPr="00CA0AE7" w:rsidRDefault="00812CE4" w:rsidP="00CA0AE7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sz w:val="19"/>
                <w:szCs w:val="19"/>
              </w:rPr>
              <w:pict>
                <v:rect id="_x0000_i1032" style="width:0;height:.75pt" o:hralign="center" o:hrstd="t" o:hrnoshade="t" o:hr="t" fillcolor="#666" stroked="f"/>
              </w:pict>
            </w:r>
          </w:p>
        </w:tc>
      </w:tr>
      <w:tr w:rsidR="00CA0AE7" w:rsidRPr="00CA0AE7" w:rsidTr="00CA0AE7">
        <w:trPr>
          <w:tblCellSpacing w:w="7" w:type="dxa"/>
        </w:trPr>
        <w:tc>
          <w:tcPr>
            <w:tcW w:w="0" w:type="auto"/>
            <w:hideMark/>
          </w:tcPr>
          <w:p w:rsidR="00CA0AE7" w:rsidRPr="00CA0AE7" w:rsidRDefault="00CA0AE7" w:rsidP="00CA0AE7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</w:rPr>
            </w:pPr>
            <w:r w:rsidRPr="00CA0AE7">
              <w:rPr>
                <w:rFonts w:ascii="Arial" w:eastAsia="Times New Roman" w:hAnsi="Arial" w:cs="Arial"/>
                <w:b/>
                <w:bCs/>
                <w:sz w:val="19"/>
                <w:szCs w:val="19"/>
              </w:rPr>
              <w:t>Environment</w:t>
            </w:r>
          </w:p>
        </w:tc>
        <w:tc>
          <w:tcPr>
            <w:tcW w:w="0" w:type="auto"/>
            <w:hideMark/>
          </w:tcPr>
          <w:p w:rsidR="00CA0AE7" w:rsidRPr="00CA0AE7" w:rsidRDefault="00CA0AE7" w:rsidP="00CA0A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</w:rPr>
              <w:drawing>
                <wp:inline distT="0" distB="0" distL="0" distR="0">
                  <wp:extent cx="942975" cy="942975"/>
                  <wp:effectExtent l="0" t="0" r="9525" b="9525"/>
                  <wp:docPr id="1" name="Picture 1" descr="http://www.sigmaaldrich.com/content/dam/sigma-aldrich/customer-service/ghs/environment-jp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sigmaaldrich.com/content/dam/sigma-aldrich/customer-service/ghs/environment-jp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CA0AE7" w:rsidRPr="00CA0AE7" w:rsidRDefault="00CA0AE7" w:rsidP="00CA0AE7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</w:rPr>
            </w:pPr>
            <w:r w:rsidRPr="00CA0AE7">
              <w:rPr>
                <w:rFonts w:ascii="Arial" w:eastAsia="Times New Roman" w:hAnsi="Arial" w:cs="Arial"/>
                <w:sz w:val="19"/>
                <w:szCs w:val="19"/>
              </w:rPr>
              <w:t>Hazardous to the aquatic environment</w:t>
            </w:r>
            <w:r w:rsidRPr="00CA0AE7">
              <w:rPr>
                <w:rFonts w:ascii="Arial" w:eastAsia="Times New Roman" w:hAnsi="Arial" w:cs="Arial"/>
                <w:sz w:val="19"/>
                <w:szCs w:val="19"/>
              </w:rPr>
              <w:br/>
              <w:t>- Acute hazard, category1</w:t>
            </w:r>
            <w:r w:rsidRPr="00CA0AE7">
              <w:rPr>
                <w:rFonts w:ascii="Arial" w:eastAsia="Times New Roman" w:hAnsi="Arial" w:cs="Arial"/>
                <w:sz w:val="19"/>
                <w:szCs w:val="19"/>
              </w:rPr>
              <w:br/>
              <w:t>- Chronic hazard, categories 1,2</w:t>
            </w:r>
          </w:p>
        </w:tc>
      </w:tr>
    </w:tbl>
    <w:p w:rsidR="009C244D" w:rsidRDefault="00812CE4"/>
    <w:sectPr w:rsidR="009C24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AE7"/>
    <w:rsid w:val="000266CC"/>
    <w:rsid w:val="00325451"/>
    <w:rsid w:val="00717BDD"/>
    <w:rsid w:val="00812CE4"/>
    <w:rsid w:val="00CA0AE7"/>
    <w:rsid w:val="00DB3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rsid w:val="00CA0AE7"/>
    <w:pPr>
      <w:spacing w:before="150" w:after="0" w:line="210" w:lineRule="atLeast"/>
      <w:ind w:left="75"/>
    </w:pPr>
    <w:rPr>
      <w:rFonts w:ascii="Arial" w:eastAsia="Times New Roman" w:hAnsi="Arial" w:cs="Arial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0A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0A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rsid w:val="00CA0AE7"/>
    <w:pPr>
      <w:spacing w:before="150" w:after="0" w:line="210" w:lineRule="atLeast"/>
      <w:ind w:left="75"/>
    </w:pPr>
    <w:rPr>
      <w:rFonts w:ascii="Arial" w:eastAsia="Times New Roman" w:hAnsi="Arial" w:cs="Arial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0A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0A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3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9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87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28685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single" w:sz="6" w:space="4" w:color="CCCCCC"/>
                    <w:bottom w:val="none" w:sz="0" w:space="0" w:color="auto"/>
                    <w:right w:val="single" w:sz="6" w:space="2" w:color="CCCCCC"/>
                  </w:divBdr>
                  <w:divsChild>
                    <w:div w:id="15977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633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Hallenbeck</dc:creator>
  <cp:keywords/>
  <dc:description/>
  <cp:lastModifiedBy>Phyllis French</cp:lastModifiedBy>
  <cp:revision>4</cp:revision>
  <cp:lastPrinted>2013-09-16T16:53:00Z</cp:lastPrinted>
  <dcterms:created xsi:type="dcterms:W3CDTF">2013-09-11T19:27:00Z</dcterms:created>
  <dcterms:modified xsi:type="dcterms:W3CDTF">2013-09-16T16:54:00Z</dcterms:modified>
</cp:coreProperties>
</file>